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8E5E" w14:textId="77777777" w:rsidR="00155E0B" w:rsidRDefault="00155E0B" w:rsidP="00155E0B">
      <w:pPr>
        <w:spacing w:before="100" w:beforeAutospacing="1" w:after="100" w:afterAutospacing="1"/>
        <w:outlineLvl w:val="1"/>
        <w:rPr>
          <w:rFonts w:eastAsia="Times New Roman" w:cstheme="minorHAnsi"/>
          <w:b/>
          <w:bCs/>
          <w:color w:val="000000"/>
          <w:kern w:val="0"/>
          <w:sz w:val="28"/>
          <w:szCs w:val="28"/>
          <w:lang w:eastAsia="en-GB"/>
          <w14:ligatures w14:val="none"/>
        </w:rPr>
      </w:pPr>
      <w:r w:rsidRPr="00155E0B">
        <w:rPr>
          <w:rFonts w:eastAsia="Times New Roman" w:cstheme="minorHAnsi"/>
          <w:b/>
          <w:bCs/>
          <w:color w:val="000000"/>
          <w:kern w:val="0"/>
          <w:sz w:val="28"/>
          <w:szCs w:val="28"/>
          <w:lang w:eastAsia="en-GB"/>
          <w14:ligatures w14:val="none"/>
        </w:rPr>
        <w:t>Sywell Parish Council – Regulation 18 Representation (2026)</w:t>
      </w:r>
    </w:p>
    <w:p w14:paraId="4DFDD665" w14:textId="7E836C75" w:rsidR="00155E0B" w:rsidRPr="00155E0B" w:rsidRDefault="00155E0B" w:rsidP="00155E0B">
      <w:pPr>
        <w:spacing w:before="100" w:beforeAutospacing="1" w:after="100" w:afterAutospacing="1"/>
        <w:outlineLvl w:val="1"/>
        <w:rPr>
          <w:rFonts w:eastAsia="Times New Roman" w:cstheme="minorHAnsi"/>
          <w:b/>
          <w:bCs/>
          <w:color w:val="000000"/>
          <w:kern w:val="0"/>
          <w:lang w:eastAsia="en-GB"/>
          <w14:ligatures w14:val="none"/>
        </w:rPr>
      </w:pPr>
      <w:r w:rsidRPr="00155E0B">
        <w:rPr>
          <w:rFonts w:eastAsia="Times New Roman" w:cstheme="minorHAnsi"/>
          <w:b/>
          <w:bCs/>
          <w:color w:val="000000"/>
          <w:kern w:val="0"/>
          <w:lang w:eastAsia="en-GB"/>
          <w14:ligatures w14:val="none"/>
        </w:rPr>
        <w:t xml:space="preserve">Objections to Policies N16 land to the west of the A43, Northampton (Moulton/Overstone) and </w:t>
      </w:r>
      <w:r w:rsidR="00E827AC">
        <w:rPr>
          <w:rFonts w:eastAsia="Times New Roman" w:cstheme="minorHAnsi"/>
          <w:b/>
          <w:bCs/>
          <w:color w:val="000000"/>
          <w:kern w:val="0"/>
          <w:lang w:eastAsia="en-GB"/>
          <w14:ligatures w14:val="none"/>
        </w:rPr>
        <w:t xml:space="preserve">N17 </w:t>
      </w:r>
      <w:r w:rsidRPr="00155E0B">
        <w:rPr>
          <w:rFonts w:eastAsia="Times New Roman" w:cstheme="minorHAnsi"/>
          <w:b/>
          <w:bCs/>
          <w:color w:val="000000"/>
          <w:kern w:val="0"/>
          <w:lang w:eastAsia="en-GB"/>
          <w14:ligatures w14:val="none"/>
        </w:rPr>
        <w:t>Land to the east of the A43, Northampton (Overstone)</w:t>
      </w:r>
    </w:p>
    <w:p w14:paraId="27A29AAB" w14:textId="77777777" w:rsidR="00155E0B" w:rsidRPr="00155E0B" w:rsidRDefault="00155E0B" w:rsidP="00155E0B">
      <w:pPr>
        <w:spacing w:before="100" w:beforeAutospacing="1" w:after="100" w:afterAutospacing="1"/>
        <w:outlineLvl w:val="2"/>
        <w:rPr>
          <w:rFonts w:eastAsia="Times New Roman" w:cstheme="minorHAnsi"/>
          <w:b/>
          <w:bCs/>
          <w:color w:val="000000"/>
          <w:kern w:val="0"/>
          <w:lang w:eastAsia="en-GB"/>
          <w14:ligatures w14:val="none"/>
        </w:rPr>
      </w:pPr>
      <w:r w:rsidRPr="00155E0B">
        <w:rPr>
          <w:rFonts w:eastAsia="Times New Roman" w:cstheme="minorHAnsi"/>
          <w:b/>
          <w:bCs/>
          <w:color w:val="000000"/>
          <w:kern w:val="0"/>
          <w:lang w:eastAsia="en-GB"/>
          <w14:ligatures w14:val="none"/>
        </w:rPr>
        <w:t>Executive Summary</w:t>
      </w:r>
    </w:p>
    <w:p w14:paraId="241468E4" w14:textId="77777777" w:rsidR="00155E0B" w:rsidRPr="00155E0B" w:rsidRDefault="00155E0B" w:rsidP="00155E0B">
      <w:pPr>
        <w:spacing w:before="100" w:beforeAutospacing="1" w:after="100" w:afterAutospacing="1"/>
        <w:rPr>
          <w:rFonts w:eastAsia="Times New Roman" w:cstheme="minorHAnsi"/>
          <w:color w:val="000000"/>
          <w:kern w:val="0"/>
          <w:sz w:val="22"/>
          <w:szCs w:val="22"/>
          <w:lang w:eastAsia="en-GB"/>
          <w14:ligatures w14:val="none"/>
        </w:rPr>
      </w:pPr>
      <w:r w:rsidRPr="00155E0B">
        <w:rPr>
          <w:rFonts w:eastAsia="Times New Roman" w:cstheme="minorHAnsi"/>
          <w:color w:val="000000"/>
          <w:kern w:val="0"/>
          <w:sz w:val="22"/>
          <w:szCs w:val="22"/>
          <w:lang w:eastAsia="en-GB"/>
          <w14:ligatures w14:val="none"/>
        </w:rPr>
        <w:t>Sywell Parish Council objects to proposed allocations N16 (Land West of the A43) and N17 (Land East of the A43) in the emerging West Northamptonshire Local Plan.</w:t>
      </w:r>
    </w:p>
    <w:p w14:paraId="3E08B358" w14:textId="22211CBE" w:rsidR="00155E0B" w:rsidRPr="00155E0B" w:rsidRDefault="00155E0B" w:rsidP="00155E0B">
      <w:pPr>
        <w:spacing w:before="100" w:beforeAutospacing="1" w:after="100" w:afterAutospacing="1"/>
        <w:rPr>
          <w:rFonts w:eastAsia="Times New Roman" w:cstheme="minorHAnsi"/>
          <w:color w:val="000000"/>
          <w:kern w:val="0"/>
          <w:sz w:val="22"/>
          <w:szCs w:val="22"/>
          <w:lang w:eastAsia="en-GB"/>
          <w14:ligatures w14:val="none"/>
        </w:rPr>
      </w:pPr>
      <w:r w:rsidRPr="00155E0B">
        <w:rPr>
          <w:rFonts w:eastAsia="Times New Roman" w:cstheme="minorHAnsi"/>
          <w:color w:val="000000"/>
          <w:kern w:val="0"/>
          <w:sz w:val="22"/>
          <w:szCs w:val="22"/>
          <w:lang w:eastAsia="en-GB"/>
          <w14:ligatures w14:val="none"/>
        </w:rPr>
        <w:t>The cumulative scale of development proposed within the northern corrido</w:t>
      </w:r>
      <w:r w:rsidR="00E827AC">
        <w:rPr>
          <w:rFonts w:eastAsia="Times New Roman" w:cstheme="minorHAnsi"/>
          <w:color w:val="000000"/>
          <w:kern w:val="0"/>
          <w:sz w:val="22"/>
          <w:szCs w:val="22"/>
          <w:lang w:eastAsia="en-GB"/>
          <w14:ligatures w14:val="none"/>
        </w:rPr>
        <w:t xml:space="preserve">r of </w:t>
      </w:r>
      <w:r w:rsidRPr="00155E0B">
        <w:rPr>
          <w:rFonts w:eastAsia="Times New Roman" w:cstheme="minorHAnsi"/>
          <w:color w:val="000000"/>
          <w:kern w:val="0"/>
          <w:sz w:val="22"/>
          <w:szCs w:val="22"/>
          <w:lang w:eastAsia="en-GB"/>
          <w14:ligatures w14:val="none"/>
        </w:rPr>
        <w:t>approximately 4,850 dwellings across N16 and N17, and substantially more when considered alongside Overstone Leys and remaining Northampton North allocation</w:t>
      </w:r>
      <w:r w:rsidR="00E827AC">
        <w:rPr>
          <w:rFonts w:eastAsia="Times New Roman" w:cstheme="minorHAnsi"/>
          <w:color w:val="000000"/>
          <w:kern w:val="0"/>
          <w:sz w:val="22"/>
          <w:szCs w:val="22"/>
          <w:lang w:eastAsia="en-GB"/>
          <w14:ligatures w14:val="none"/>
        </w:rPr>
        <w:t xml:space="preserve">.  These </w:t>
      </w:r>
      <w:r w:rsidRPr="00155E0B">
        <w:rPr>
          <w:rFonts w:eastAsia="Times New Roman" w:cstheme="minorHAnsi"/>
          <w:color w:val="000000"/>
          <w:kern w:val="0"/>
          <w:sz w:val="22"/>
          <w:szCs w:val="22"/>
          <w:lang w:eastAsia="en-GB"/>
          <w14:ligatures w14:val="none"/>
        </w:rPr>
        <w:t>development</w:t>
      </w:r>
      <w:r w:rsidR="00E827AC">
        <w:rPr>
          <w:rFonts w:eastAsia="Times New Roman" w:cstheme="minorHAnsi"/>
          <w:color w:val="000000"/>
          <w:kern w:val="0"/>
          <w:sz w:val="22"/>
          <w:szCs w:val="22"/>
          <w:lang w:eastAsia="en-GB"/>
          <w14:ligatures w14:val="none"/>
        </w:rPr>
        <w:t xml:space="preserve">s are </w:t>
      </w:r>
      <w:r w:rsidRPr="00155E0B">
        <w:rPr>
          <w:rFonts w:eastAsia="Times New Roman" w:cstheme="minorHAnsi"/>
          <w:color w:val="000000"/>
          <w:kern w:val="0"/>
          <w:sz w:val="22"/>
          <w:szCs w:val="22"/>
          <w:lang w:eastAsia="en-GB"/>
          <w14:ligatures w14:val="none"/>
        </w:rPr>
        <w:t>of a magnitude comparable to a new settlement rather than a conventional urban extension. The Local Plan does not demonstrate that this strategy is the most sustainable, justified, or effective option when considered against reasonable alternatives.</w:t>
      </w:r>
    </w:p>
    <w:p w14:paraId="6ED4F981" w14:textId="77777777" w:rsidR="00155E0B" w:rsidRPr="00155E0B" w:rsidRDefault="00155E0B" w:rsidP="00155E0B">
      <w:pPr>
        <w:spacing w:before="100" w:beforeAutospacing="1" w:after="100" w:afterAutospacing="1"/>
        <w:rPr>
          <w:rFonts w:eastAsia="Times New Roman" w:cstheme="minorHAnsi"/>
          <w:color w:val="000000"/>
          <w:kern w:val="0"/>
          <w:sz w:val="22"/>
          <w:szCs w:val="22"/>
          <w:lang w:eastAsia="en-GB"/>
          <w14:ligatures w14:val="none"/>
        </w:rPr>
      </w:pPr>
      <w:r w:rsidRPr="00155E0B">
        <w:rPr>
          <w:rFonts w:eastAsia="Times New Roman" w:cstheme="minorHAnsi"/>
          <w:color w:val="000000"/>
          <w:kern w:val="0"/>
          <w:sz w:val="22"/>
          <w:szCs w:val="22"/>
          <w:lang w:eastAsia="en-GB"/>
          <w14:ligatures w14:val="none"/>
        </w:rPr>
        <w:t>The Parish Council also objects to the proposed extension of Northampton’s planning boundary to enable this scale of development to take place within the setting of villages identified as “other” settlements in the settlement hierarchy. This approach risks undermining the spatial strategy by effectively urbanising rural locations without the infrastructure, services, or role envisaged for them in the hierarchy.</w:t>
      </w:r>
    </w:p>
    <w:p w14:paraId="7B74AF17" w14:textId="77777777" w:rsidR="00155E0B" w:rsidRPr="00155E0B" w:rsidRDefault="00155E0B" w:rsidP="00155E0B">
      <w:pPr>
        <w:spacing w:before="100" w:beforeAutospacing="1" w:after="100" w:afterAutospacing="1"/>
        <w:rPr>
          <w:rFonts w:eastAsia="Times New Roman" w:cstheme="minorHAnsi"/>
          <w:color w:val="000000"/>
          <w:kern w:val="0"/>
          <w:sz w:val="22"/>
          <w:szCs w:val="22"/>
          <w:lang w:eastAsia="en-GB"/>
          <w14:ligatures w14:val="none"/>
        </w:rPr>
      </w:pPr>
      <w:r w:rsidRPr="00155E0B">
        <w:rPr>
          <w:rFonts w:eastAsia="Times New Roman" w:cstheme="minorHAnsi"/>
          <w:color w:val="000000"/>
          <w:kern w:val="0"/>
          <w:sz w:val="22"/>
          <w:szCs w:val="22"/>
          <w:lang w:eastAsia="en-GB"/>
          <w14:ligatures w14:val="none"/>
        </w:rPr>
        <w:t>Evidence submitted by West Northamptonshire Council indicates that the A43 corridor is already operating at or beyond capacity, with modelling predicting worsening congestion and traffic reassignment. These impacts will be experienced directly within Sywell Parish through increased through-traffic, displacement of HGV movements, and pressure on rural routes. No confirmed, funded, or deliverable mitigation has been identified, and reliance on an uncommitted Northern Orbital Route is not a sound basis for plan-making.</w:t>
      </w:r>
    </w:p>
    <w:p w14:paraId="466DEE7B" w14:textId="77777777" w:rsidR="00155E0B" w:rsidRPr="00155E0B" w:rsidRDefault="00155E0B" w:rsidP="00155E0B">
      <w:pPr>
        <w:spacing w:before="100" w:beforeAutospacing="1" w:after="100" w:afterAutospacing="1"/>
        <w:rPr>
          <w:rFonts w:eastAsia="Times New Roman" w:cstheme="minorHAnsi"/>
          <w:color w:val="000000"/>
          <w:kern w:val="0"/>
          <w:sz w:val="22"/>
          <w:szCs w:val="22"/>
          <w:lang w:eastAsia="en-GB"/>
          <w14:ligatures w14:val="none"/>
        </w:rPr>
      </w:pPr>
      <w:r w:rsidRPr="00155E0B">
        <w:rPr>
          <w:rFonts w:eastAsia="Times New Roman" w:cstheme="minorHAnsi"/>
          <w:color w:val="000000"/>
          <w:kern w:val="0"/>
          <w:sz w:val="22"/>
          <w:szCs w:val="22"/>
          <w:lang w:eastAsia="en-GB"/>
          <w14:ligatures w14:val="none"/>
        </w:rPr>
        <w:t>Landscape evidence identifies parts of the allocation area as performing a settlement separation function. The cumulative erosion of countryside gaps risks weakening the distinction between Northampton’s urban edge and surrounding rural parishes, including Sywell.</w:t>
      </w:r>
    </w:p>
    <w:p w14:paraId="0262B888" w14:textId="77777777" w:rsidR="00155E0B" w:rsidRPr="00155E0B" w:rsidRDefault="00155E0B" w:rsidP="00155E0B">
      <w:pPr>
        <w:spacing w:before="100" w:beforeAutospacing="1" w:after="100" w:afterAutospacing="1"/>
        <w:rPr>
          <w:rFonts w:eastAsia="Times New Roman" w:cstheme="minorHAnsi"/>
          <w:color w:val="000000"/>
          <w:kern w:val="0"/>
          <w:sz w:val="22"/>
          <w:szCs w:val="22"/>
          <w:lang w:eastAsia="en-GB"/>
          <w14:ligatures w14:val="none"/>
        </w:rPr>
      </w:pPr>
      <w:r w:rsidRPr="00155E0B">
        <w:rPr>
          <w:rFonts w:eastAsia="Times New Roman" w:cstheme="minorHAnsi"/>
          <w:color w:val="000000"/>
          <w:kern w:val="0"/>
          <w:sz w:val="22"/>
          <w:szCs w:val="22"/>
          <w:lang w:eastAsia="en-GB"/>
          <w14:ligatures w14:val="none"/>
        </w:rPr>
        <w:t>The proposed development neither functions as a clearly integrated extension of Northampton nor as a self-sufficient new settlement supported by appropriate infrastructure. Sywell lacks the services, employment opportunities, and transport capacity to absorb the consequences of this scale of growth.</w:t>
      </w:r>
    </w:p>
    <w:p w14:paraId="204DF6B3" w14:textId="77777777" w:rsidR="00155E0B" w:rsidRPr="00155E0B" w:rsidRDefault="00155E0B" w:rsidP="00155E0B">
      <w:pPr>
        <w:spacing w:before="100" w:beforeAutospacing="1" w:after="100" w:afterAutospacing="1"/>
        <w:rPr>
          <w:rFonts w:eastAsia="Times New Roman" w:cstheme="minorHAnsi"/>
          <w:color w:val="000000"/>
          <w:kern w:val="0"/>
          <w:sz w:val="22"/>
          <w:szCs w:val="22"/>
          <w:lang w:eastAsia="en-GB"/>
          <w14:ligatures w14:val="none"/>
        </w:rPr>
      </w:pPr>
      <w:r w:rsidRPr="00155E0B">
        <w:rPr>
          <w:rFonts w:eastAsia="Times New Roman" w:cstheme="minorHAnsi"/>
          <w:color w:val="000000"/>
          <w:kern w:val="0"/>
          <w:sz w:val="22"/>
          <w:szCs w:val="22"/>
          <w:lang w:eastAsia="en-GB"/>
          <w14:ligatures w14:val="none"/>
        </w:rPr>
        <w:t>For these reasons, Sywell Parish Council considers that Policies N16 and N17 should not proceed without fundamental reconsideration of the spatial strategy, infrastructure capacity, cumulative impacts, and the appropriateness of extending Northampton’s planning boundary into rural areas.</w:t>
      </w:r>
    </w:p>
    <w:p w14:paraId="28FD60C0" w14:textId="77777777" w:rsidR="00155E0B" w:rsidRDefault="00155E0B" w:rsidP="00155E0B">
      <w:pPr>
        <w:pStyle w:val="Heading1"/>
        <w:rPr>
          <w:rFonts w:asciiTheme="minorHAnsi" w:hAnsiTheme="minorHAnsi" w:cstheme="minorHAnsi"/>
          <w:b/>
          <w:bCs/>
          <w:color w:val="000000"/>
          <w:sz w:val="28"/>
          <w:szCs w:val="28"/>
        </w:rPr>
      </w:pPr>
    </w:p>
    <w:p w14:paraId="0687E09F" w14:textId="70F2ADAB" w:rsidR="00155E0B" w:rsidRPr="00155E0B" w:rsidRDefault="00155E0B" w:rsidP="00155E0B">
      <w:pPr>
        <w:pStyle w:val="Heading1"/>
        <w:rPr>
          <w:rFonts w:asciiTheme="minorHAnsi" w:hAnsiTheme="minorHAnsi" w:cstheme="minorHAnsi"/>
          <w:b/>
          <w:bCs/>
          <w:color w:val="000000"/>
          <w:sz w:val="28"/>
          <w:szCs w:val="28"/>
        </w:rPr>
      </w:pPr>
      <w:r w:rsidRPr="00155E0B">
        <w:rPr>
          <w:rFonts w:asciiTheme="minorHAnsi" w:hAnsiTheme="minorHAnsi" w:cstheme="minorHAnsi"/>
          <w:b/>
          <w:bCs/>
          <w:color w:val="000000"/>
          <w:sz w:val="28"/>
          <w:szCs w:val="28"/>
        </w:rPr>
        <w:t>Full Representation</w:t>
      </w:r>
    </w:p>
    <w:p w14:paraId="5D8EFD36" w14:textId="7ED29D8A" w:rsidR="00155E0B" w:rsidRPr="00155E0B" w:rsidRDefault="00155E0B" w:rsidP="00155E0B">
      <w:pPr>
        <w:pStyle w:val="NormalWeb"/>
        <w:rPr>
          <w:rFonts w:asciiTheme="minorHAnsi" w:hAnsiTheme="minorHAnsi" w:cstheme="minorHAnsi"/>
          <w:b/>
          <w:bCs/>
          <w:color w:val="000000"/>
        </w:rPr>
      </w:pPr>
      <w:r w:rsidRPr="00155E0B">
        <w:rPr>
          <w:rStyle w:val="Strong"/>
          <w:rFonts w:asciiTheme="minorHAnsi" w:hAnsiTheme="minorHAnsi" w:cstheme="minorHAnsi"/>
          <w:color w:val="000000"/>
        </w:rPr>
        <w:t>Sywell Parish Council – Regulation 18 (2026)</w:t>
      </w:r>
    </w:p>
    <w:p w14:paraId="76624A96" w14:textId="77777777" w:rsidR="00155E0B" w:rsidRPr="00155E0B" w:rsidRDefault="00155E0B" w:rsidP="00155E0B">
      <w:pPr>
        <w:pStyle w:val="NormalWeb"/>
        <w:rPr>
          <w:rFonts w:asciiTheme="minorHAnsi" w:hAnsiTheme="minorHAnsi" w:cstheme="minorHAnsi"/>
          <w:color w:val="000000"/>
          <w:sz w:val="22"/>
          <w:szCs w:val="22"/>
        </w:rPr>
      </w:pPr>
      <w:r w:rsidRPr="00155E0B">
        <w:rPr>
          <w:rFonts w:asciiTheme="minorHAnsi" w:hAnsiTheme="minorHAnsi" w:cstheme="minorHAnsi"/>
          <w:color w:val="000000"/>
          <w:sz w:val="22"/>
          <w:szCs w:val="22"/>
        </w:rPr>
        <w:t>Sywell Parish Council submits this representation in response to the West Northamptonshire Local Plan Regulation 18 consultation. The Parish Council has significant concerns regarding the proposed spatial strategy and, in particular, allocations N16 (Land West of the A43) and N17 (Land East of the A43). While geographically located between Moulton and Overstone, the cumulative impacts of these allocations fall directly on Sywell Parish, its rural road network, landscape setting, and community identity.</w:t>
      </w:r>
    </w:p>
    <w:p w14:paraId="72264ABD" w14:textId="77777777" w:rsidR="00155E0B" w:rsidRPr="00155E0B" w:rsidRDefault="00155E0B" w:rsidP="00155E0B">
      <w:pPr>
        <w:pStyle w:val="Heading2"/>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Spatial Strategy, Settlement Hierarchy and Scale of Growth</w:t>
      </w:r>
    </w:p>
    <w:p w14:paraId="420E35D6" w14:textId="77777777" w:rsidR="00155E0B" w:rsidRPr="00155E0B" w:rsidRDefault="00155E0B" w:rsidP="00155E0B">
      <w:pPr>
        <w:pStyle w:val="NormalWeb"/>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 xml:space="preserve">The emerging Local Plan continues to rely heavily on large-scale Sustainable Urban Extensions and greenfield development on Northampton’s fringe to meet housing requirements. The evidence base does not demonstrate that </w:t>
      </w:r>
      <w:r w:rsidRPr="00155E0B">
        <w:rPr>
          <w:rFonts w:asciiTheme="minorHAnsi" w:hAnsiTheme="minorHAnsi" w:cstheme="minorHAnsi"/>
          <w:color w:val="000000"/>
          <w:sz w:val="22"/>
          <w:szCs w:val="22"/>
        </w:rPr>
        <w:lastRenderedPageBreak/>
        <w:t>opportunities for brownfield regeneration, urban intensification, and higher-density development within the existing urban area have been fully maximised prior to pursuing further expansion into the northern corridor. This raises serious concerns as to whether the strategy represents the most sustainable and sequential approach.</w:t>
      </w:r>
    </w:p>
    <w:p w14:paraId="36343247" w14:textId="77777777" w:rsidR="00155E0B" w:rsidRPr="00155E0B" w:rsidRDefault="00155E0B" w:rsidP="00155E0B">
      <w:pPr>
        <w:pStyle w:val="NormalWeb"/>
        <w:rPr>
          <w:rFonts w:asciiTheme="minorHAnsi" w:hAnsiTheme="minorHAnsi" w:cstheme="minorHAnsi"/>
          <w:color w:val="000000"/>
          <w:sz w:val="22"/>
          <w:szCs w:val="22"/>
        </w:rPr>
      </w:pPr>
      <w:r w:rsidRPr="00155E0B">
        <w:rPr>
          <w:rFonts w:asciiTheme="minorHAnsi" w:hAnsiTheme="minorHAnsi" w:cstheme="minorHAnsi"/>
          <w:color w:val="000000"/>
          <w:sz w:val="22"/>
          <w:szCs w:val="22"/>
        </w:rPr>
        <w:t>Sywell Parish Council objects in principle to the proposed extension of Northampton’s planning boundary to accommodate this scale of development. The practical effect of this approach is to enable strategic-scale growth in areas functionally associated with villages identified within the settlement hierarchy as “other” settlements. These settlements are not identified as locations for significant growth and do not possess the infrastructure, services, employment opportunities, or public transport connectivity required to sustain development of this magnitude.</w:t>
      </w:r>
    </w:p>
    <w:p w14:paraId="0B7997FA" w14:textId="77777777" w:rsidR="00155E0B" w:rsidRPr="00155E0B" w:rsidRDefault="00155E0B" w:rsidP="00155E0B">
      <w:pPr>
        <w:pStyle w:val="NormalWeb"/>
        <w:rPr>
          <w:rFonts w:asciiTheme="minorHAnsi" w:hAnsiTheme="minorHAnsi" w:cstheme="minorHAnsi"/>
          <w:color w:val="000000"/>
          <w:sz w:val="22"/>
          <w:szCs w:val="22"/>
        </w:rPr>
      </w:pPr>
      <w:r w:rsidRPr="00155E0B">
        <w:rPr>
          <w:rFonts w:asciiTheme="minorHAnsi" w:hAnsiTheme="minorHAnsi" w:cstheme="minorHAnsi"/>
          <w:color w:val="000000"/>
          <w:sz w:val="22"/>
          <w:szCs w:val="22"/>
        </w:rPr>
        <w:t>Extending the urban planning boundary in this way risks undermining the integrity of the settlement hierarchy. Rather than directing growth to locations identified as appropriate for strategic expansion, the Plan effectively urbanises rural land without corresponding changes to its strategic role or infrastructure capacity. This creates a clear mismatch between the hierarchy and the scale of development proposed.</w:t>
      </w:r>
    </w:p>
    <w:p w14:paraId="52C7FE8D" w14:textId="77777777" w:rsidR="00155E0B" w:rsidRPr="00155E0B" w:rsidRDefault="00155E0B" w:rsidP="00155E0B">
      <w:pPr>
        <w:pStyle w:val="NormalWeb"/>
        <w:rPr>
          <w:rFonts w:asciiTheme="minorHAnsi" w:hAnsiTheme="minorHAnsi" w:cstheme="minorHAnsi"/>
          <w:color w:val="000000"/>
          <w:sz w:val="22"/>
          <w:szCs w:val="22"/>
        </w:rPr>
      </w:pPr>
      <w:r w:rsidRPr="00155E0B">
        <w:rPr>
          <w:rFonts w:asciiTheme="minorHAnsi" w:hAnsiTheme="minorHAnsi" w:cstheme="minorHAnsi"/>
          <w:color w:val="000000"/>
          <w:sz w:val="22"/>
          <w:szCs w:val="22"/>
        </w:rPr>
        <w:t>Taken together with the remaining Northampton North allocations, Policies N16 and N17 amount to development of a scale comparable to a new settlement. The Sustainability Appraisal identifies a “Major New Settlement” as a reasonable alternative; however, the Plan does not clearly explain how the cumulative northern growth strategy differs from that option, nor why it performs better in sustainability terms. The dispersal of growth across extended urban-edge allocations has not been robustly justified when compared to a comprehensively planned standalone settlement.</w:t>
      </w:r>
    </w:p>
    <w:p w14:paraId="5D7D51EB" w14:textId="6F640D67" w:rsidR="00155E0B" w:rsidRPr="00155E0B" w:rsidRDefault="00155E0B" w:rsidP="00155E0B">
      <w:pPr>
        <w:pStyle w:val="NormalWeb"/>
        <w:rPr>
          <w:rFonts w:asciiTheme="minorHAnsi" w:hAnsiTheme="minorHAnsi" w:cstheme="minorHAnsi"/>
          <w:color w:val="000000"/>
          <w:sz w:val="22"/>
          <w:szCs w:val="22"/>
        </w:rPr>
      </w:pPr>
      <w:r w:rsidRPr="00155E0B">
        <w:rPr>
          <w:rFonts w:asciiTheme="minorHAnsi" w:hAnsiTheme="minorHAnsi" w:cstheme="minorHAnsi"/>
          <w:color w:val="000000"/>
          <w:sz w:val="22"/>
          <w:szCs w:val="22"/>
        </w:rPr>
        <w:t>The allocations are not required to be comprehensively master</w:t>
      </w:r>
      <w:r>
        <w:rPr>
          <w:rFonts w:asciiTheme="minorHAnsi" w:hAnsiTheme="minorHAnsi" w:cstheme="minorHAnsi"/>
          <w:color w:val="000000"/>
          <w:sz w:val="22"/>
          <w:szCs w:val="22"/>
        </w:rPr>
        <w:t xml:space="preserve"> planned</w:t>
      </w:r>
      <w:r w:rsidRPr="00155E0B">
        <w:rPr>
          <w:rFonts w:asciiTheme="minorHAnsi" w:hAnsiTheme="minorHAnsi" w:cstheme="minorHAnsi"/>
          <w:color w:val="000000"/>
          <w:sz w:val="22"/>
          <w:szCs w:val="22"/>
        </w:rPr>
        <w:t>, creating a risk of fragmented delivery, inconsistent infrastructure provision, and piecemeal growth. Delays associated with the Overstone Green application further undermine confidence in coordinated and timely infrastructure delivery.</w:t>
      </w:r>
    </w:p>
    <w:p w14:paraId="7D0883D5" w14:textId="77777777" w:rsidR="00155E0B" w:rsidRPr="00155E0B" w:rsidRDefault="00155E0B" w:rsidP="00155E0B">
      <w:pPr>
        <w:pStyle w:val="Heading2"/>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Landscape and Settlement Identity</w:t>
      </w:r>
    </w:p>
    <w:p w14:paraId="4AB67E89" w14:textId="77777777" w:rsidR="00155E0B" w:rsidRPr="00155E0B" w:rsidRDefault="00155E0B" w:rsidP="00155E0B">
      <w:pPr>
        <w:pStyle w:val="NormalWeb"/>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The Landscape Sensitivity Assessment identifies parts of the N17 area as having moderate to high sensitivity and performing an important settlement separation function. The cumulative loss of open land between Northampton and neighbouring rural parishes risks incremental coalescence and erosion of local landscape character.</w:t>
      </w:r>
    </w:p>
    <w:p w14:paraId="562126DC" w14:textId="77777777" w:rsidR="00155E0B" w:rsidRPr="00155E0B" w:rsidRDefault="00155E0B" w:rsidP="00155E0B">
      <w:pPr>
        <w:pStyle w:val="NormalWeb"/>
        <w:rPr>
          <w:rFonts w:asciiTheme="minorHAnsi" w:hAnsiTheme="minorHAnsi" w:cstheme="minorHAnsi"/>
          <w:color w:val="000000"/>
          <w:sz w:val="22"/>
          <w:szCs w:val="22"/>
        </w:rPr>
      </w:pPr>
      <w:r w:rsidRPr="00155E0B">
        <w:rPr>
          <w:rFonts w:asciiTheme="minorHAnsi" w:hAnsiTheme="minorHAnsi" w:cstheme="minorHAnsi"/>
          <w:color w:val="000000"/>
          <w:sz w:val="22"/>
          <w:szCs w:val="22"/>
        </w:rPr>
        <w:t>Such change would weaken the distinction between Northampton’s urban fringe and the rural communities of Sywell, Overstone, and Mears Ashby. The progressive narrowing of countryside gaps undermines long-established planning principles of maintaining settlement identity and preventing the gradual merging of urban and rural areas.</w:t>
      </w:r>
    </w:p>
    <w:p w14:paraId="50DC9EA3" w14:textId="77777777" w:rsidR="00155E0B" w:rsidRPr="00155E0B" w:rsidRDefault="00155E0B" w:rsidP="00155E0B">
      <w:pPr>
        <w:pStyle w:val="NormalWeb"/>
        <w:rPr>
          <w:rFonts w:asciiTheme="minorHAnsi" w:hAnsiTheme="minorHAnsi" w:cstheme="minorHAnsi"/>
          <w:color w:val="000000"/>
          <w:sz w:val="22"/>
          <w:szCs w:val="22"/>
        </w:rPr>
      </w:pPr>
      <w:r w:rsidRPr="00155E0B">
        <w:rPr>
          <w:rFonts w:asciiTheme="minorHAnsi" w:hAnsiTheme="minorHAnsi" w:cstheme="minorHAnsi"/>
          <w:color w:val="000000"/>
          <w:sz w:val="22"/>
          <w:szCs w:val="22"/>
        </w:rPr>
        <w:t>The proposed extension of Northampton’s planning boundary further exacerbates this concern, as it formalises the outward shift of the urban edge into areas currently performing a clear separation and rural setting function.</w:t>
      </w:r>
    </w:p>
    <w:p w14:paraId="405DBF9F" w14:textId="77777777" w:rsidR="00155E0B" w:rsidRPr="00155E0B" w:rsidRDefault="00155E0B" w:rsidP="00155E0B">
      <w:pPr>
        <w:pStyle w:val="Heading2"/>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Highways and Transport Impacts</w:t>
      </w:r>
    </w:p>
    <w:p w14:paraId="678CFF5D" w14:textId="77777777" w:rsidR="00155E0B" w:rsidRPr="00155E0B" w:rsidRDefault="00155E0B" w:rsidP="00155E0B">
      <w:pPr>
        <w:pStyle w:val="NormalWeb"/>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Highways impacts are a primary concern for Sywell Parish. The Sustainability Appraisal identifies moderate adverse effects on congestion arising from N16 and N17. Transport modelling indicates that the A43/Sywell Road roundabout is already operating over capacity in the 2041 baseline scenario, with additional development predicted to generate further delay and traffic reassignment.</w:t>
      </w:r>
    </w:p>
    <w:p w14:paraId="272D935D" w14:textId="77777777" w:rsidR="00155E0B" w:rsidRPr="00155E0B" w:rsidRDefault="00155E0B" w:rsidP="00155E0B">
      <w:pPr>
        <w:pStyle w:val="NormalWeb"/>
        <w:rPr>
          <w:rFonts w:asciiTheme="minorHAnsi" w:hAnsiTheme="minorHAnsi" w:cstheme="minorHAnsi"/>
          <w:color w:val="000000"/>
          <w:sz w:val="22"/>
          <w:szCs w:val="22"/>
        </w:rPr>
      </w:pPr>
      <w:r w:rsidRPr="00155E0B">
        <w:rPr>
          <w:rFonts w:asciiTheme="minorHAnsi" w:hAnsiTheme="minorHAnsi" w:cstheme="minorHAnsi"/>
          <w:color w:val="000000"/>
          <w:sz w:val="22"/>
          <w:szCs w:val="22"/>
        </w:rPr>
        <w:t>In practice, this reassignment is likely to divert traffic through Overstone Green and onto rural routes passing through Sywell, Mears Ashby, and Ecton. The modelling has not been updated to reflect the increased housing numbers proposed in the 2026 Regulation 18 draft and may therefore underestimate cumulative impacts.</w:t>
      </w:r>
    </w:p>
    <w:p w14:paraId="1A7B24F0" w14:textId="77777777" w:rsidR="00155E0B" w:rsidRPr="00155E0B" w:rsidRDefault="00155E0B" w:rsidP="00155E0B">
      <w:pPr>
        <w:pStyle w:val="NormalWeb"/>
        <w:rPr>
          <w:rFonts w:asciiTheme="minorHAnsi" w:hAnsiTheme="minorHAnsi" w:cstheme="minorHAnsi"/>
          <w:color w:val="000000"/>
          <w:sz w:val="22"/>
          <w:szCs w:val="22"/>
        </w:rPr>
      </w:pPr>
      <w:r w:rsidRPr="00155E0B">
        <w:rPr>
          <w:rFonts w:asciiTheme="minorHAnsi" w:hAnsiTheme="minorHAnsi" w:cstheme="minorHAnsi"/>
          <w:color w:val="000000"/>
          <w:sz w:val="22"/>
          <w:szCs w:val="22"/>
        </w:rPr>
        <w:t>No confirmed, costed, or programmed mitigation measures have been identified to address these effects. Reliance on a potential Northern Orbital Route is unsound, as the scheme is neither committed nor funded. The absence of secured infrastructure raises serious concerns regarding deliverability and timing.</w:t>
      </w:r>
    </w:p>
    <w:p w14:paraId="0144CFFA" w14:textId="77777777" w:rsidR="00155E0B" w:rsidRPr="00155E0B" w:rsidRDefault="00155E0B" w:rsidP="00155E0B">
      <w:pPr>
        <w:pStyle w:val="NormalWeb"/>
        <w:rPr>
          <w:rFonts w:asciiTheme="minorHAnsi" w:hAnsiTheme="minorHAnsi" w:cstheme="minorHAnsi"/>
          <w:color w:val="000000"/>
          <w:sz w:val="22"/>
          <w:szCs w:val="22"/>
        </w:rPr>
      </w:pPr>
      <w:r w:rsidRPr="00155E0B">
        <w:rPr>
          <w:rFonts w:asciiTheme="minorHAnsi" w:hAnsiTheme="minorHAnsi" w:cstheme="minorHAnsi"/>
          <w:color w:val="000000"/>
          <w:sz w:val="22"/>
          <w:szCs w:val="22"/>
        </w:rPr>
        <w:t xml:space="preserve">Furthermore, the Local Transport Plan (2025–2045) prioritises modal shift, active travel, and demand management rather than significant new highway capacity. The concentration of large-scale development along the A43 corridor </w:t>
      </w:r>
      <w:r w:rsidRPr="00155E0B">
        <w:rPr>
          <w:rFonts w:asciiTheme="minorHAnsi" w:hAnsiTheme="minorHAnsi" w:cstheme="minorHAnsi"/>
          <w:color w:val="000000"/>
          <w:sz w:val="22"/>
          <w:szCs w:val="22"/>
        </w:rPr>
        <w:lastRenderedPageBreak/>
        <w:t>appears inconsistent with this strategy and risks reinforcing car-dependent travel patterns that exceed the sustainable capacity of the network.</w:t>
      </w:r>
    </w:p>
    <w:p w14:paraId="29F14F19" w14:textId="77777777" w:rsidR="00155E0B" w:rsidRPr="00155E0B" w:rsidRDefault="00155E0B" w:rsidP="00155E0B">
      <w:pPr>
        <w:pStyle w:val="Heading2"/>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Integration, Infrastructure and Deliverability</w:t>
      </w:r>
    </w:p>
    <w:p w14:paraId="29742F3A" w14:textId="77777777" w:rsidR="00155E0B" w:rsidRPr="00155E0B" w:rsidRDefault="00155E0B" w:rsidP="00155E0B">
      <w:pPr>
        <w:pStyle w:val="NormalWeb"/>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The proposed allocations do not function as well-integrated extensions of Northampton. Their distance from the town centre and reliance on the A43 corridor limit practical connectivity with the urban core.</w:t>
      </w:r>
    </w:p>
    <w:p w14:paraId="69447FF0" w14:textId="77777777" w:rsidR="00155E0B" w:rsidRPr="00155E0B" w:rsidRDefault="00155E0B" w:rsidP="00155E0B">
      <w:pPr>
        <w:pStyle w:val="NormalWeb"/>
        <w:rPr>
          <w:rFonts w:asciiTheme="minorHAnsi" w:hAnsiTheme="minorHAnsi" w:cstheme="minorHAnsi"/>
          <w:color w:val="000000"/>
          <w:sz w:val="22"/>
          <w:szCs w:val="22"/>
        </w:rPr>
      </w:pPr>
      <w:r w:rsidRPr="00155E0B">
        <w:rPr>
          <w:rFonts w:asciiTheme="minorHAnsi" w:hAnsiTheme="minorHAnsi" w:cstheme="minorHAnsi"/>
          <w:color w:val="000000"/>
          <w:sz w:val="22"/>
          <w:szCs w:val="22"/>
        </w:rPr>
        <w:t>At the same time, the development is not planned as a self-sufficient settlement supported by a comprehensive range of services, facilities, and employment opportunities. The absence of clear and secured infrastructure commitments creates uncertainty about where future residents will access healthcare, education, employment, and community services.</w:t>
      </w:r>
    </w:p>
    <w:p w14:paraId="03ECF90D" w14:textId="77777777" w:rsidR="00155E0B" w:rsidRPr="00155E0B" w:rsidRDefault="00155E0B" w:rsidP="00155E0B">
      <w:pPr>
        <w:pStyle w:val="NormalWeb"/>
        <w:rPr>
          <w:rFonts w:asciiTheme="minorHAnsi" w:hAnsiTheme="minorHAnsi" w:cstheme="minorHAnsi"/>
          <w:color w:val="000000"/>
          <w:sz w:val="22"/>
          <w:szCs w:val="22"/>
        </w:rPr>
      </w:pPr>
      <w:r w:rsidRPr="00155E0B">
        <w:rPr>
          <w:rFonts w:asciiTheme="minorHAnsi" w:hAnsiTheme="minorHAnsi" w:cstheme="minorHAnsi"/>
          <w:color w:val="000000"/>
          <w:sz w:val="22"/>
          <w:szCs w:val="22"/>
        </w:rPr>
        <w:t>Sywell itself does not possess the infrastructure or service base to absorb the consequences of this scale of growth. Experience at Overstone Leys, where delivery of the promised local centre has been delayed, illustrates the risks inherent in relying on future infrastructure provision that may not materialise in step with housing delivery.</w:t>
      </w:r>
    </w:p>
    <w:p w14:paraId="351B198D" w14:textId="77777777" w:rsidR="00155E0B" w:rsidRDefault="00155E0B" w:rsidP="00155E0B">
      <w:pPr>
        <w:pStyle w:val="NormalWeb"/>
        <w:rPr>
          <w:rFonts w:asciiTheme="minorHAnsi" w:hAnsiTheme="minorHAnsi" w:cstheme="minorHAnsi"/>
          <w:color w:val="000000"/>
          <w:sz w:val="22"/>
          <w:szCs w:val="22"/>
        </w:rPr>
      </w:pPr>
      <w:r w:rsidRPr="00155E0B">
        <w:rPr>
          <w:rFonts w:asciiTheme="minorHAnsi" w:hAnsiTheme="minorHAnsi" w:cstheme="minorHAnsi"/>
          <w:color w:val="000000"/>
          <w:sz w:val="22"/>
          <w:szCs w:val="22"/>
        </w:rPr>
        <w:t>The likely outcome is a large, car-dependent form of development that functions neither as a genuine urban extension nor as a properly planned standalone settlement, placing disproportionate and unintended pressure on surrounding rural parishes.</w:t>
      </w:r>
    </w:p>
    <w:p w14:paraId="0589B784" w14:textId="77777777" w:rsidR="006D400B" w:rsidRPr="006D400B" w:rsidRDefault="006D400B" w:rsidP="006D400B">
      <w:pPr>
        <w:outlineLvl w:val="0"/>
        <w:rPr>
          <w:rFonts w:eastAsia="Times New Roman" w:cstheme="minorHAnsi"/>
          <w:b/>
          <w:bCs/>
          <w:color w:val="000000"/>
          <w:kern w:val="36"/>
          <w:sz w:val="22"/>
          <w:szCs w:val="22"/>
          <w:lang w:eastAsia="en-GB"/>
        </w:rPr>
      </w:pPr>
      <w:r w:rsidRPr="006D400B">
        <w:rPr>
          <w:rFonts w:eastAsia="Times New Roman" w:cstheme="minorHAnsi"/>
          <w:b/>
          <w:bCs/>
          <w:color w:val="000000"/>
          <w:kern w:val="36"/>
          <w:sz w:val="22"/>
          <w:szCs w:val="22"/>
          <w:lang w:eastAsia="en-GB"/>
        </w:rPr>
        <w:t>Sywell – Wastewater / Great Billing WRC Comment</w:t>
      </w:r>
    </w:p>
    <w:p w14:paraId="0F52020C" w14:textId="77777777" w:rsidR="006D400B" w:rsidRPr="006D400B" w:rsidRDefault="006D400B" w:rsidP="006D400B">
      <w:pPr>
        <w:rPr>
          <w:rFonts w:eastAsia="Times New Roman" w:cstheme="minorHAnsi"/>
          <w:color w:val="000000"/>
          <w:sz w:val="22"/>
          <w:szCs w:val="22"/>
          <w:lang w:eastAsia="en-GB"/>
        </w:rPr>
      </w:pPr>
      <w:r w:rsidRPr="006D400B">
        <w:rPr>
          <w:rFonts w:eastAsia="Times New Roman" w:cstheme="minorHAnsi"/>
          <w:color w:val="000000"/>
          <w:sz w:val="22"/>
          <w:szCs w:val="22"/>
          <w:lang w:eastAsia="en-GB"/>
        </w:rPr>
        <w:t>No evidence has been published by Anglian Water confirming </w:t>
      </w:r>
      <w:r w:rsidRPr="006D400B">
        <w:rPr>
          <w:rFonts w:eastAsia="Times New Roman" w:cstheme="minorHAnsi"/>
          <w:b/>
          <w:bCs/>
          <w:color w:val="000000"/>
          <w:sz w:val="22"/>
          <w:szCs w:val="22"/>
          <w:lang w:eastAsia="en-GB"/>
        </w:rPr>
        <w:t>hydraulic headroom</w:t>
      </w:r>
      <w:r w:rsidRPr="006D400B">
        <w:rPr>
          <w:rFonts w:eastAsia="Times New Roman" w:cstheme="minorHAnsi"/>
          <w:color w:val="000000"/>
          <w:sz w:val="22"/>
          <w:szCs w:val="22"/>
          <w:lang w:eastAsia="en-GB"/>
        </w:rPr>
        <w:t> at the Great Billing WRC. The Local Plan contains </w:t>
      </w:r>
      <w:r w:rsidRPr="006D400B">
        <w:rPr>
          <w:rFonts w:eastAsia="Times New Roman" w:cstheme="minorHAnsi"/>
          <w:b/>
          <w:bCs/>
          <w:color w:val="000000"/>
          <w:sz w:val="22"/>
          <w:szCs w:val="22"/>
          <w:lang w:eastAsia="en-GB"/>
        </w:rPr>
        <w:t>no assessment</w:t>
      </w:r>
      <w:r w:rsidRPr="006D400B">
        <w:rPr>
          <w:rFonts w:eastAsia="Times New Roman" w:cstheme="minorHAnsi"/>
          <w:color w:val="000000"/>
          <w:sz w:val="22"/>
          <w:szCs w:val="22"/>
          <w:lang w:eastAsia="en-GB"/>
        </w:rPr>
        <w:t> of current treatment capacity, permit limits, or cumulative growth impacts across the Billing catchment.</w:t>
      </w:r>
    </w:p>
    <w:p w14:paraId="58253796" w14:textId="77777777" w:rsidR="006D400B" w:rsidRPr="006D400B" w:rsidRDefault="006D400B" w:rsidP="006D400B">
      <w:pPr>
        <w:spacing w:before="100" w:beforeAutospacing="1" w:after="100" w:afterAutospacing="1"/>
        <w:rPr>
          <w:rFonts w:eastAsia="Times New Roman" w:cstheme="minorHAnsi"/>
          <w:color w:val="000000"/>
          <w:sz w:val="22"/>
          <w:szCs w:val="22"/>
          <w:lang w:eastAsia="en-GB"/>
        </w:rPr>
      </w:pPr>
      <w:r w:rsidRPr="006D400B">
        <w:rPr>
          <w:rFonts w:eastAsia="Times New Roman" w:cstheme="minorHAnsi"/>
          <w:color w:val="000000"/>
          <w:sz w:val="22"/>
          <w:szCs w:val="22"/>
          <w:lang w:eastAsia="en-GB"/>
        </w:rPr>
        <w:t>Sywell’s wastewater ultimately feeds into the </w:t>
      </w:r>
      <w:r w:rsidRPr="006D400B">
        <w:rPr>
          <w:rFonts w:eastAsia="Times New Roman" w:cstheme="minorHAnsi"/>
          <w:b/>
          <w:bCs/>
          <w:color w:val="000000"/>
          <w:sz w:val="22"/>
          <w:szCs w:val="22"/>
          <w:lang w:eastAsia="en-GB"/>
        </w:rPr>
        <w:t>same receiving system</w:t>
      </w:r>
      <w:r w:rsidRPr="006D400B">
        <w:rPr>
          <w:rFonts w:eastAsia="Times New Roman" w:cstheme="minorHAnsi"/>
          <w:color w:val="000000"/>
          <w:sz w:val="22"/>
          <w:szCs w:val="22"/>
          <w:lang w:eastAsia="en-GB"/>
        </w:rPr>
        <w:t>, meaning its growth cannot be considered in isolation. Even modest development contributes to cumulative loading, and national policy requires these impacts to be assessed </w:t>
      </w:r>
      <w:r w:rsidRPr="006D400B">
        <w:rPr>
          <w:rFonts w:eastAsia="Times New Roman" w:cstheme="minorHAnsi"/>
          <w:b/>
          <w:bCs/>
          <w:color w:val="000000"/>
          <w:sz w:val="22"/>
          <w:szCs w:val="22"/>
          <w:lang w:eastAsia="en-GB"/>
        </w:rPr>
        <w:t>across the whole catchment</w:t>
      </w:r>
      <w:r w:rsidRPr="006D400B">
        <w:rPr>
          <w:rFonts w:eastAsia="Times New Roman" w:cstheme="minorHAnsi"/>
          <w:color w:val="000000"/>
          <w:sz w:val="22"/>
          <w:szCs w:val="22"/>
          <w:lang w:eastAsia="en-GB"/>
        </w:rPr>
        <w:t>, not assumed away.</w:t>
      </w:r>
    </w:p>
    <w:p w14:paraId="7C157EFD" w14:textId="0FCB2FCA" w:rsidR="006D400B" w:rsidRPr="006D400B" w:rsidRDefault="006D400B" w:rsidP="006D400B">
      <w:pPr>
        <w:spacing w:before="100" w:beforeAutospacing="1" w:after="100" w:afterAutospacing="1"/>
        <w:rPr>
          <w:rFonts w:eastAsia="Times New Roman" w:cstheme="minorHAnsi"/>
          <w:color w:val="000000"/>
          <w:sz w:val="22"/>
          <w:szCs w:val="22"/>
          <w:lang w:eastAsia="en-GB"/>
        </w:rPr>
      </w:pPr>
      <w:r w:rsidRPr="006D400B">
        <w:rPr>
          <w:rFonts w:eastAsia="Times New Roman" w:cstheme="minorHAnsi"/>
          <w:color w:val="000000"/>
          <w:sz w:val="22"/>
          <w:szCs w:val="22"/>
          <w:lang w:eastAsia="en-GB"/>
        </w:rPr>
        <w:t>Without published data on Billing’s capacity and utilisation, the plan fails to demonstrate that wastewater infrastructure can support the proposed development trajectory. This undermines the plan’s </w:t>
      </w:r>
      <w:r w:rsidRPr="006D400B">
        <w:rPr>
          <w:rFonts w:eastAsia="Times New Roman" w:cstheme="minorHAnsi"/>
          <w:b/>
          <w:bCs/>
          <w:color w:val="000000"/>
          <w:sz w:val="22"/>
          <w:szCs w:val="22"/>
          <w:lang w:eastAsia="en-GB"/>
        </w:rPr>
        <w:t>soundness</w:t>
      </w:r>
      <w:r w:rsidRPr="006D400B">
        <w:rPr>
          <w:rFonts w:eastAsia="Times New Roman" w:cstheme="minorHAnsi"/>
          <w:color w:val="000000"/>
          <w:sz w:val="22"/>
          <w:szCs w:val="22"/>
          <w:lang w:eastAsia="en-GB"/>
        </w:rPr>
        <w:t> and its compliance with national policy.</w:t>
      </w:r>
    </w:p>
    <w:p w14:paraId="5B317552" w14:textId="77777777" w:rsidR="00155E0B" w:rsidRPr="00155E0B" w:rsidRDefault="00155E0B" w:rsidP="00155E0B">
      <w:pPr>
        <w:pStyle w:val="Heading2"/>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Soundness of the Plan</w:t>
      </w:r>
    </w:p>
    <w:p w14:paraId="136EB737" w14:textId="77777777" w:rsidR="00155E0B" w:rsidRPr="00155E0B" w:rsidRDefault="00155E0B" w:rsidP="00155E0B">
      <w:pPr>
        <w:pStyle w:val="NormalWeb"/>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Sywell Parish Council considers that the northern growth strategy, including Policies N16 and N17 and the associated extension of Northampton’s planning boundary, has not been demonstrated to be sound.</w:t>
      </w:r>
    </w:p>
    <w:p w14:paraId="19776617" w14:textId="77777777" w:rsidR="00155E0B" w:rsidRPr="00155E0B" w:rsidRDefault="00155E0B" w:rsidP="00155E0B">
      <w:pPr>
        <w:pStyle w:val="NormalWeb"/>
        <w:rPr>
          <w:rFonts w:asciiTheme="minorHAnsi" w:hAnsiTheme="minorHAnsi" w:cstheme="minorHAnsi"/>
          <w:color w:val="000000"/>
          <w:sz w:val="22"/>
          <w:szCs w:val="22"/>
        </w:rPr>
      </w:pPr>
      <w:r w:rsidRPr="00155E0B">
        <w:rPr>
          <w:rFonts w:asciiTheme="minorHAnsi" w:hAnsiTheme="minorHAnsi" w:cstheme="minorHAnsi"/>
          <w:color w:val="000000"/>
          <w:sz w:val="22"/>
          <w:szCs w:val="22"/>
        </w:rPr>
        <w:t>Specifically, it has not been shown to be:</w:t>
      </w:r>
    </w:p>
    <w:p w14:paraId="1494412C" w14:textId="77777777" w:rsidR="00155E0B" w:rsidRPr="00155E0B" w:rsidRDefault="00155E0B" w:rsidP="00155E0B">
      <w:pPr>
        <w:pStyle w:val="NormalWeb"/>
        <w:numPr>
          <w:ilvl w:val="0"/>
          <w:numId w:val="3"/>
        </w:numPr>
        <w:rPr>
          <w:rFonts w:asciiTheme="minorHAnsi" w:hAnsiTheme="minorHAnsi" w:cstheme="minorHAnsi"/>
          <w:color w:val="000000"/>
          <w:sz w:val="22"/>
          <w:szCs w:val="22"/>
        </w:rPr>
      </w:pPr>
      <w:r w:rsidRPr="00155E0B">
        <w:rPr>
          <w:rStyle w:val="Strong"/>
          <w:rFonts w:asciiTheme="minorHAnsi" w:hAnsiTheme="minorHAnsi" w:cstheme="minorHAnsi"/>
          <w:color w:val="000000"/>
          <w:sz w:val="22"/>
          <w:szCs w:val="22"/>
        </w:rPr>
        <w:t>Justified</w:t>
      </w:r>
      <w:r w:rsidRPr="00155E0B">
        <w:rPr>
          <w:rStyle w:val="apple-converted-space"/>
          <w:rFonts w:asciiTheme="minorHAnsi" w:hAnsiTheme="minorHAnsi" w:cstheme="minorHAnsi"/>
          <w:color w:val="000000"/>
          <w:sz w:val="22"/>
          <w:szCs w:val="22"/>
        </w:rPr>
        <w:t> </w:t>
      </w:r>
      <w:r w:rsidRPr="00155E0B">
        <w:rPr>
          <w:rFonts w:asciiTheme="minorHAnsi" w:hAnsiTheme="minorHAnsi" w:cstheme="minorHAnsi"/>
          <w:color w:val="000000"/>
          <w:sz w:val="22"/>
          <w:szCs w:val="22"/>
        </w:rPr>
        <w:t>– Reasonable alternatives, including urban intensification and a distinct new settlement strategy, have not been robustly assessed or discounted. The extension of the urban boundary into rural areas associated with “other” villages has not been supported by clear evidence demonstrating that this is the most sustainable spatial option.</w:t>
      </w:r>
    </w:p>
    <w:p w14:paraId="1694ED09" w14:textId="77777777" w:rsidR="00155E0B" w:rsidRPr="00155E0B" w:rsidRDefault="00155E0B" w:rsidP="00155E0B">
      <w:pPr>
        <w:pStyle w:val="NormalWeb"/>
        <w:numPr>
          <w:ilvl w:val="0"/>
          <w:numId w:val="3"/>
        </w:numPr>
        <w:rPr>
          <w:rFonts w:asciiTheme="minorHAnsi" w:hAnsiTheme="minorHAnsi" w:cstheme="minorHAnsi"/>
          <w:color w:val="000000"/>
          <w:sz w:val="22"/>
          <w:szCs w:val="22"/>
        </w:rPr>
      </w:pPr>
      <w:r w:rsidRPr="00155E0B">
        <w:rPr>
          <w:rStyle w:val="Strong"/>
          <w:rFonts w:asciiTheme="minorHAnsi" w:hAnsiTheme="minorHAnsi" w:cstheme="minorHAnsi"/>
          <w:color w:val="000000"/>
          <w:sz w:val="22"/>
          <w:szCs w:val="22"/>
        </w:rPr>
        <w:t>Effective</w:t>
      </w:r>
      <w:r w:rsidRPr="00155E0B">
        <w:rPr>
          <w:rStyle w:val="apple-converted-space"/>
          <w:rFonts w:asciiTheme="minorHAnsi" w:hAnsiTheme="minorHAnsi" w:cstheme="minorHAnsi"/>
          <w:color w:val="000000"/>
          <w:sz w:val="22"/>
          <w:szCs w:val="22"/>
        </w:rPr>
        <w:t> </w:t>
      </w:r>
      <w:r w:rsidRPr="00155E0B">
        <w:rPr>
          <w:rFonts w:asciiTheme="minorHAnsi" w:hAnsiTheme="minorHAnsi" w:cstheme="minorHAnsi"/>
          <w:color w:val="000000"/>
          <w:sz w:val="22"/>
          <w:szCs w:val="22"/>
        </w:rPr>
        <w:t>– Infrastructure requirements, particularly highways mitigation and transport capacity improvements, remain uncertain, uncommitted, and unfunded, with no clear mechanism to guarantee timely delivery.</w:t>
      </w:r>
    </w:p>
    <w:p w14:paraId="6A5620A6" w14:textId="77777777" w:rsidR="00155E0B" w:rsidRPr="00155E0B" w:rsidRDefault="00155E0B" w:rsidP="00155E0B">
      <w:pPr>
        <w:pStyle w:val="NormalWeb"/>
        <w:numPr>
          <w:ilvl w:val="0"/>
          <w:numId w:val="3"/>
        </w:numPr>
        <w:rPr>
          <w:rFonts w:asciiTheme="minorHAnsi" w:hAnsiTheme="minorHAnsi" w:cstheme="minorHAnsi"/>
          <w:color w:val="000000"/>
          <w:sz w:val="22"/>
          <w:szCs w:val="22"/>
        </w:rPr>
      </w:pPr>
      <w:r w:rsidRPr="00155E0B">
        <w:rPr>
          <w:rStyle w:val="Strong"/>
          <w:rFonts w:asciiTheme="minorHAnsi" w:hAnsiTheme="minorHAnsi" w:cstheme="minorHAnsi"/>
          <w:color w:val="000000"/>
          <w:sz w:val="22"/>
          <w:szCs w:val="22"/>
        </w:rPr>
        <w:t>Consistent with national policy and the settlement hierarchy</w:t>
      </w:r>
      <w:r w:rsidRPr="00155E0B">
        <w:rPr>
          <w:rStyle w:val="apple-converted-space"/>
          <w:rFonts w:asciiTheme="minorHAnsi" w:hAnsiTheme="minorHAnsi" w:cstheme="minorHAnsi"/>
          <w:color w:val="000000"/>
          <w:sz w:val="22"/>
          <w:szCs w:val="22"/>
        </w:rPr>
        <w:t> </w:t>
      </w:r>
      <w:r w:rsidRPr="00155E0B">
        <w:rPr>
          <w:rFonts w:asciiTheme="minorHAnsi" w:hAnsiTheme="minorHAnsi" w:cstheme="minorHAnsi"/>
          <w:color w:val="000000"/>
          <w:sz w:val="22"/>
          <w:szCs w:val="22"/>
        </w:rPr>
        <w:t>– The approach risks directing strategic-scale growth to locations not intended to accommodate it, eroding rural settlement identity, weakening settlement separation, and reinforcing car-dependent development patterns.</w:t>
      </w:r>
    </w:p>
    <w:p w14:paraId="052F6ADB" w14:textId="77777777" w:rsidR="00155E0B" w:rsidRPr="00155E0B" w:rsidRDefault="003C3218" w:rsidP="00155E0B">
      <w:pPr>
        <w:rPr>
          <w:rFonts w:cstheme="minorHAnsi"/>
          <w:sz w:val="22"/>
          <w:szCs w:val="22"/>
        </w:rPr>
      </w:pPr>
      <w:r>
        <w:rPr>
          <w:rFonts w:cstheme="minorHAnsi"/>
          <w:noProof/>
          <w:sz w:val="22"/>
          <w:szCs w:val="22"/>
        </w:rPr>
        <w:pict w14:anchorId="6FECD9EA">
          <v:rect id="_x0000_i1025" alt="" style="width:451.3pt;height:.05pt;mso-width-percent:0;mso-height-percent:0;mso-width-percent:0;mso-height-percent:0" o:hralign="center" o:hrstd="t" o:hrnoshade="t" o:hr="t" fillcolor="black" stroked="f"/>
        </w:pict>
      </w:r>
    </w:p>
    <w:p w14:paraId="6A2B4A89" w14:textId="77777777" w:rsidR="006D400B" w:rsidRDefault="006D400B" w:rsidP="00155E0B">
      <w:pPr>
        <w:pStyle w:val="Heading2"/>
        <w:spacing w:before="0" w:beforeAutospacing="0" w:after="0" w:afterAutospacing="0"/>
        <w:rPr>
          <w:rFonts w:asciiTheme="minorHAnsi" w:hAnsiTheme="minorHAnsi" w:cstheme="minorHAnsi"/>
          <w:color w:val="000000"/>
          <w:sz w:val="22"/>
          <w:szCs w:val="22"/>
        </w:rPr>
      </w:pPr>
    </w:p>
    <w:p w14:paraId="786DE299" w14:textId="77777777" w:rsidR="006D400B" w:rsidRDefault="006D400B" w:rsidP="00155E0B">
      <w:pPr>
        <w:pStyle w:val="Heading2"/>
        <w:spacing w:before="0" w:beforeAutospacing="0" w:after="0" w:afterAutospacing="0"/>
        <w:rPr>
          <w:rFonts w:asciiTheme="minorHAnsi" w:hAnsiTheme="minorHAnsi" w:cstheme="minorHAnsi"/>
          <w:color w:val="000000"/>
          <w:sz w:val="22"/>
          <w:szCs w:val="22"/>
        </w:rPr>
      </w:pPr>
    </w:p>
    <w:p w14:paraId="19D6CC90" w14:textId="77777777" w:rsidR="006D400B" w:rsidRDefault="006D400B" w:rsidP="00155E0B">
      <w:pPr>
        <w:pStyle w:val="Heading2"/>
        <w:spacing w:before="0" w:beforeAutospacing="0" w:after="0" w:afterAutospacing="0"/>
        <w:rPr>
          <w:rFonts w:asciiTheme="minorHAnsi" w:hAnsiTheme="minorHAnsi" w:cstheme="minorHAnsi"/>
          <w:color w:val="000000"/>
          <w:sz w:val="22"/>
          <w:szCs w:val="22"/>
        </w:rPr>
      </w:pPr>
    </w:p>
    <w:p w14:paraId="21D51240" w14:textId="77777777" w:rsidR="006D400B" w:rsidRDefault="006D400B" w:rsidP="00155E0B">
      <w:pPr>
        <w:pStyle w:val="Heading2"/>
        <w:spacing w:before="0" w:beforeAutospacing="0" w:after="0" w:afterAutospacing="0"/>
        <w:rPr>
          <w:rFonts w:asciiTheme="minorHAnsi" w:hAnsiTheme="minorHAnsi" w:cstheme="minorHAnsi"/>
          <w:color w:val="000000"/>
          <w:sz w:val="22"/>
          <w:szCs w:val="22"/>
        </w:rPr>
      </w:pPr>
    </w:p>
    <w:p w14:paraId="07231247" w14:textId="607273E5" w:rsidR="00155E0B" w:rsidRPr="00155E0B" w:rsidRDefault="00155E0B" w:rsidP="00155E0B">
      <w:pPr>
        <w:pStyle w:val="Heading2"/>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lastRenderedPageBreak/>
        <w:t>Conclusion</w:t>
      </w:r>
    </w:p>
    <w:p w14:paraId="6780E28A" w14:textId="77777777" w:rsidR="00155E0B" w:rsidRPr="00155E0B" w:rsidRDefault="00155E0B" w:rsidP="00155E0B">
      <w:pPr>
        <w:pStyle w:val="NormalWeb"/>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Sywell Parish Council objects to Policies N16 and N17 and to the associated extension of Northampton’s planning boundary required to facilitate them.</w:t>
      </w:r>
    </w:p>
    <w:p w14:paraId="567FC38A" w14:textId="77777777" w:rsidR="00155E0B" w:rsidRPr="00155E0B" w:rsidRDefault="00155E0B" w:rsidP="00155E0B">
      <w:pPr>
        <w:pStyle w:val="NormalWeb"/>
        <w:rPr>
          <w:rFonts w:asciiTheme="minorHAnsi" w:hAnsiTheme="minorHAnsi" w:cstheme="minorHAnsi"/>
          <w:color w:val="000000"/>
          <w:sz w:val="22"/>
          <w:szCs w:val="22"/>
        </w:rPr>
      </w:pPr>
      <w:r w:rsidRPr="00155E0B">
        <w:rPr>
          <w:rFonts w:asciiTheme="minorHAnsi" w:hAnsiTheme="minorHAnsi" w:cstheme="minorHAnsi"/>
          <w:color w:val="000000"/>
          <w:sz w:val="22"/>
          <w:szCs w:val="22"/>
        </w:rPr>
        <w:t>The cumulative scale of development proposed in the northern corridor, its reliance on land functionally associated with villages identified as “other” settlements, and the absence of clear, deliverable infrastructure solutions demonstrate that the current approach has not been shown to be the most sustainable, justified, or effective strategy.</w:t>
      </w:r>
    </w:p>
    <w:p w14:paraId="7E7D6530" w14:textId="77777777" w:rsidR="00155E0B" w:rsidRPr="00155E0B" w:rsidRDefault="00155E0B" w:rsidP="00155E0B">
      <w:pPr>
        <w:pStyle w:val="NormalWeb"/>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The Parish Council considers that these policies should not proceed without fundamental reconsideration of:</w:t>
      </w:r>
    </w:p>
    <w:p w14:paraId="2B9FDD65" w14:textId="77777777" w:rsidR="00155E0B" w:rsidRPr="00155E0B" w:rsidRDefault="00155E0B" w:rsidP="00155E0B">
      <w:pPr>
        <w:pStyle w:val="NormalWeb"/>
        <w:numPr>
          <w:ilvl w:val="0"/>
          <w:numId w:val="4"/>
        </w:numPr>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the overall spatial strategy,</w:t>
      </w:r>
    </w:p>
    <w:p w14:paraId="2EFD4861" w14:textId="77777777" w:rsidR="00155E0B" w:rsidRPr="00155E0B" w:rsidRDefault="00155E0B" w:rsidP="00155E0B">
      <w:pPr>
        <w:pStyle w:val="NormalWeb"/>
        <w:numPr>
          <w:ilvl w:val="0"/>
          <w:numId w:val="4"/>
        </w:numPr>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the integrity and application of the settlement hierarchy,</w:t>
      </w:r>
    </w:p>
    <w:p w14:paraId="45CE7F2A" w14:textId="77777777" w:rsidR="00155E0B" w:rsidRPr="00155E0B" w:rsidRDefault="00155E0B" w:rsidP="00155E0B">
      <w:pPr>
        <w:pStyle w:val="NormalWeb"/>
        <w:numPr>
          <w:ilvl w:val="0"/>
          <w:numId w:val="4"/>
        </w:numPr>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the justification for extending Northampton’s planning boundary,</w:t>
      </w:r>
    </w:p>
    <w:p w14:paraId="1DF14481" w14:textId="77777777" w:rsidR="00155E0B" w:rsidRPr="00155E0B" w:rsidRDefault="00155E0B" w:rsidP="00155E0B">
      <w:pPr>
        <w:pStyle w:val="NormalWeb"/>
        <w:numPr>
          <w:ilvl w:val="0"/>
          <w:numId w:val="4"/>
        </w:numPr>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infrastructure capacity and funding commitments,</w:t>
      </w:r>
    </w:p>
    <w:p w14:paraId="4BDDBEF6" w14:textId="77777777" w:rsidR="00155E0B" w:rsidRPr="00155E0B" w:rsidRDefault="00155E0B" w:rsidP="00155E0B">
      <w:pPr>
        <w:pStyle w:val="NormalWeb"/>
        <w:numPr>
          <w:ilvl w:val="0"/>
          <w:numId w:val="4"/>
        </w:numPr>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cumulative highways impacts,</w:t>
      </w:r>
    </w:p>
    <w:p w14:paraId="14F3C2C1" w14:textId="77777777" w:rsidR="00155E0B" w:rsidRPr="00155E0B" w:rsidRDefault="00155E0B" w:rsidP="00155E0B">
      <w:pPr>
        <w:pStyle w:val="NormalWeb"/>
        <w:numPr>
          <w:ilvl w:val="0"/>
          <w:numId w:val="4"/>
        </w:numPr>
        <w:spacing w:before="0" w:beforeAutospacing="0" w:after="0" w:afterAutospacing="0"/>
        <w:rPr>
          <w:rFonts w:asciiTheme="minorHAnsi" w:hAnsiTheme="minorHAnsi" w:cstheme="minorHAnsi"/>
          <w:color w:val="000000"/>
          <w:sz w:val="22"/>
          <w:szCs w:val="22"/>
        </w:rPr>
      </w:pPr>
      <w:r w:rsidRPr="00155E0B">
        <w:rPr>
          <w:rFonts w:asciiTheme="minorHAnsi" w:hAnsiTheme="minorHAnsi" w:cstheme="minorHAnsi"/>
          <w:color w:val="000000"/>
          <w:sz w:val="22"/>
          <w:szCs w:val="22"/>
        </w:rPr>
        <w:t>and landscape protection and settlement separation.</w:t>
      </w:r>
    </w:p>
    <w:p w14:paraId="7870AB7C" w14:textId="77777777" w:rsidR="00155E0B" w:rsidRPr="00155E0B" w:rsidRDefault="00155E0B" w:rsidP="00155E0B">
      <w:pPr>
        <w:pBdr>
          <w:top w:val="single" w:sz="6" w:space="1" w:color="auto"/>
        </w:pBdr>
        <w:jc w:val="center"/>
        <w:rPr>
          <w:rFonts w:eastAsia="Times New Roman" w:cstheme="minorHAnsi"/>
          <w:vanish/>
          <w:kern w:val="0"/>
          <w:sz w:val="22"/>
          <w:szCs w:val="22"/>
          <w:lang w:eastAsia="en-GB"/>
          <w14:ligatures w14:val="none"/>
        </w:rPr>
      </w:pPr>
      <w:r w:rsidRPr="00155E0B">
        <w:rPr>
          <w:rFonts w:eastAsia="Times New Roman" w:cstheme="minorHAnsi"/>
          <w:vanish/>
          <w:kern w:val="0"/>
          <w:sz w:val="22"/>
          <w:szCs w:val="22"/>
          <w:lang w:eastAsia="en-GB"/>
          <w14:ligatures w14:val="none"/>
        </w:rPr>
        <w:t>Bottom of Form</w:t>
      </w:r>
    </w:p>
    <w:p w14:paraId="4F46CDC2" w14:textId="77777777" w:rsidR="00DF2C2F" w:rsidRPr="00155E0B" w:rsidRDefault="00DF2C2F">
      <w:pPr>
        <w:rPr>
          <w:rFonts w:cstheme="minorHAnsi"/>
          <w:sz w:val="22"/>
          <w:szCs w:val="22"/>
        </w:rPr>
      </w:pPr>
    </w:p>
    <w:sectPr w:rsidR="00DF2C2F" w:rsidRPr="00155E0B" w:rsidSect="00155E0B">
      <w:footerReference w:type="even"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7C97B" w14:textId="77777777" w:rsidR="003C3218" w:rsidRDefault="003C3218" w:rsidP="00155E0B">
      <w:r>
        <w:separator/>
      </w:r>
    </w:p>
  </w:endnote>
  <w:endnote w:type="continuationSeparator" w:id="0">
    <w:p w14:paraId="1B5FEFE8" w14:textId="77777777" w:rsidR="003C3218" w:rsidRDefault="003C3218" w:rsidP="0015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574418"/>
      <w:docPartObj>
        <w:docPartGallery w:val="Page Numbers (Bottom of Page)"/>
        <w:docPartUnique/>
      </w:docPartObj>
    </w:sdtPr>
    <w:sdtContent>
      <w:p w14:paraId="3D3E7E1E" w14:textId="3E43EE57" w:rsidR="00155E0B" w:rsidRDefault="00155E0B" w:rsidP="00680B6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81EBC4" w14:textId="77777777" w:rsidR="00155E0B" w:rsidRDefault="00155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1854460"/>
      <w:docPartObj>
        <w:docPartGallery w:val="Page Numbers (Bottom of Page)"/>
        <w:docPartUnique/>
      </w:docPartObj>
    </w:sdtPr>
    <w:sdtContent>
      <w:p w14:paraId="064E53EB" w14:textId="5423DC98" w:rsidR="00155E0B" w:rsidRDefault="00155E0B" w:rsidP="00680B6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241BE0" w14:textId="77777777" w:rsidR="00155E0B" w:rsidRDefault="00155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0C7D" w14:textId="77777777" w:rsidR="003C3218" w:rsidRDefault="003C3218" w:rsidP="00155E0B">
      <w:r>
        <w:separator/>
      </w:r>
    </w:p>
  </w:footnote>
  <w:footnote w:type="continuationSeparator" w:id="0">
    <w:p w14:paraId="5910E745" w14:textId="77777777" w:rsidR="003C3218" w:rsidRDefault="003C3218" w:rsidP="00155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BB2"/>
    <w:multiLevelType w:val="multilevel"/>
    <w:tmpl w:val="94F0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62A8D"/>
    <w:multiLevelType w:val="multilevel"/>
    <w:tmpl w:val="1D96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84032"/>
    <w:multiLevelType w:val="multilevel"/>
    <w:tmpl w:val="E53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D1A15"/>
    <w:multiLevelType w:val="multilevel"/>
    <w:tmpl w:val="9C94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E4616"/>
    <w:multiLevelType w:val="multilevel"/>
    <w:tmpl w:val="F92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601157">
    <w:abstractNumId w:val="4"/>
  </w:num>
  <w:num w:numId="2" w16cid:durableId="1628465410">
    <w:abstractNumId w:val="2"/>
  </w:num>
  <w:num w:numId="3" w16cid:durableId="1934975108">
    <w:abstractNumId w:val="3"/>
  </w:num>
  <w:num w:numId="4" w16cid:durableId="552817862">
    <w:abstractNumId w:val="1"/>
  </w:num>
  <w:num w:numId="5" w16cid:durableId="80532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0B"/>
    <w:rsid w:val="00047644"/>
    <w:rsid w:val="00155E0B"/>
    <w:rsid w:val="003C3218"/>
    <w:rsid w:val="003E2362"/>
    <w:rsid w:val="006574F7"/>
    <w:rsid w:val="006D400B"/>
    <w:rsid w:val="00706250"/>
    <w:rsid w:val="00B56CB4"/>
    <w:rsid w:val="00C8758F"/>
    <w:rsid w:val="00DF2C2F"/>
    <w:rsid w:val="00E82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4098"/>
  <w15:chartTrackingRefBased/>
  <w15:docId w15:val="{BE87F9C3-D0C4-8143-AF69-446530CD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E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55E0B"/>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155E0B"/>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5E0B"/>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155E0B"/>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155E0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55E0B"/>
    <w:rPr>
      <w:b/>
      <w:bCs/>
    </w:rPr>
  </w:style>
  <w:style w:type="character" w:customStyle="1" w:styleId="apple-converted-space">
    <w:name w:val="apple-converted-space"/>
    <w:basedOn w:val="DefaultParagraphFont"/>
    <w:rsid w:val="00155E0B"/>
  </w:style>
  <w:style w:type="paragraph" w:styleId="z-TopofForm">
    <w:name w:val="HTML Top of Form"/>
    <w:basedOn w:val="Normal"/>
    <w:next w:val="Normal"/>
    <w:link w:val="z-TopofFormChar"/>
    <w:hidden/>
    <w:uiPriority w:val="99"/>
    <w:semiHidden/>
    <w:unhideWhenUsed/>
    <w:rsid w:val="00155E0B"/>
    <w:pPr>
      <w:pBdr>
        <w:bottom w:val="single" w:sz="6" w:space="1" w:color="auto"/>
      </w:pBdr>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155E0B"/>
    <w:rPr>
      <w:rFonts w:ascii="Arial" w:eastAsia="Times New Roman" w:hAnsi="Arial" w:cs="Arial"/>
      <w:vanish/>
      <w:kern w:val="0"/>
      <w:sz w:val="16"/>
      <w:szCs w:val="16"/>
      <w:lang w:eastAsia="en-GB"/>
      <w14:ligatures w14:val="none"/>
    </w:rPr>
  </w:style>
  <w:style w:type="paragraph" w:customStyle="1" w:styleId="placeholder">
    <w:name w:val="placeholder"/>
    <w:basedOn w:val="Normal"/>
    <w:rsid w:val="00155E0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z-BottomofForm">
    <w:name w:val="HTML Bottom of Form"/>
    <w:basedOn w:val="Normal"/>
    <w:next w:val="Normal"/>
    <w:link w:val="z-BottomofFormChar"/>
    <w:hidden/>
    <w:uiPriority w:val="99"/>
    <w:semiHidden/>
    <w:unhideWhenUsed/>
    <w:rsid w:val="00155E0B"/>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155E0B"/>
    <w:rPr>
      <w:rFonts w:ascii="Arial" w:eastAsia="Times New Roman" w:hAnsi="Arial" w:cs="Arial"/>
      <w:vanish/>
      <w:kern w:val="0"/>
      <w:sz w:val="16"/>
      <w:szCs w:val="16"/>
      <w:lang w:eastAsia="en-GB"/>
      <w14:ligatures w14:val="none"/>
    </w:rPr>
  </w:style>
  <w:style w:type="character" w:customStyle="1" w:styleId="Heading1Char">
    <w:name w:val="Heading 1 Char"/>
    <w:basedOn w:val="DefaultParagraphFont"/>
    <w:link w:val="Heading1"/>
    <w:uiPriority w:val="9"/>
    <w:rsid w:val="00155E0B"/>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155E0B"/>
    <w:pPr>
      <w:tabs>
        <w:tab w:val="center" w:pos="4513"/>
        <w:tab w:val="right" w:pos="9026"/>
      </w:tabs>
    </w:pPr>
  </w:style>
  <w:style w:type="character" w:customStyle="1" w:styleId="FooterChar">
    <w:name w:val="Footer Char"/>
    <w:basedOn w:val="DefaultParagraphFont"/>
    <w:link w:val="Footer"/>
    <w:uiPriority w:val="99"/>
    <w:rsid w:val="00155E0B"/>
  </w:style>
  <w:style w:type="character" w:styleId="PageNumber">
    <w:name w:val="page number"/>
    <w:basedOn w:val="DefaultParagraphFont"/>
    <w:uiPriority w:val="99"/>
    <w:semiHidden/>
    <w:unhideWhenUsed/>
    <w:rsid w:val="00155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5040">
      <w:bodyDiv w:val="1"/>
      <w:marLeft w:val="0"/>
      <w:marRight w:val="0"/>
      <w:marTop w:val="0"/>
      <w:marBottom w:val="0"/>
      <w:divBdr>
        <w:top w:val="none" w:sz="0" w:space="0" w:color="auto"/>
        <w:left w:val="none" w:sz="0" w:space="0" w:color="auto"/>
        <w:bottom w:val="none" w:sz="0" w:space="0" w:color="auto"/>
        <w:right w:val="none" w:sz="0" w:space="0" w:color="auto"/>
      </w:divBdr>
    </w:div>
    <w:div w:id="164177312">
      <w:bodyDiv w:val="1"/>
      <w:marLeft w:val="0"/>
      <w:marRight w:val="0"/>
      <w:marTop w:val="0"/>
      <w:marBottom w:val="0"/>
      <w:divBdr>
        <w:top w:val="none" w:sz="0" w:space="0" w:color="auto"/>
        <w:left w:val="none" w:sz="0" w:space="0" w:color="auto"/>
        <w:bottom w:val="none" w:sz="0" w:space="0" w:color="auto"/>
        <w:right w:val="none" w:sz="0" w:space="0" w:color="auto"/>
      </w:divBdr>
      <w:divsChild>
        <w:div w:id="1003898358">
          <w:marLeft w:val="0"/>
          <w:marRight w:val="0"/>
          <w:marTop w:val="0"/>
          <w:marBottom w:val="0"/>
          <w:divBdr>
            <w:top w:val="none" w:sz="0" w:space="0" w:color="auto"/>
            <w:left w:val="none" w:sz="0" w:space="0" w:color="auto"/>
            <w:bottom w:val="none" w:sz="0" w:space="0" w:color="auto"/>
            <w:right w:val="none" w:sz="0" w:space="0" w:color="auto"/>
          </w:divBdr>
          <w:divsChild>
            <w:div w:id="1821995508">
              <w:marLeft w:val="0"/>
              <w:marRight w:val="0"/>
              <w:marTop w:val="0"/>
              <w:marBottom w:val="0"/>
              <w:divBdr>
                <w:top w:val="none" w:sz="0" w:space="0" w:color="auto"/>
                <w:left w:val="none" w:sz="0" w:space="0" w:color="auto"/>
                <w:bottom w:val="none" w:sz="0" w:space="0" w:color="auto"/>
                <w:right w:val="none" w:sz="0" w:space="0" w:color="auto"/>
              </w:divBdr>
              <w:divsChild>
                <w:div w:id="987707906">
                  <w:marLeft w:val="0"/>
                  <w:marRight w:val="0"/>
                  <w:marTop w:val="0"/>
                  <w:marBottom w:val="0"/>
                  <w:divBdr>
                    <w:top w:val="none" w:sz="0" w:space="0" w:color="auto"/>
                    <w:left w:val="none" w:sz="0" w:space="0" w:color="auto"/>
                    <w:bottom w:val="none" w:sz="0" w:space="0" w:color="auto"/>
                    <w:right w:val="none" w:sz="0" w:space="0" w:color="auto"/>
                  </w:divBdr>
                  <w:divsChild>
                    <w:div w:id="1993093959">
                      <w:marLeft w:val="0"/>
                      <w:marRight w:val="0"/>
                      <w:marTop w:val="0"/>
                      <w:marBottom w:val="0"/>
                      <w:divBdr>
                        <w:top w:val="none" w:sz="0" w:space="0" w:color="auto"/>
                        <w:left w:val="none" w:sz="0" w:space="0" w:color="auto"/>
                        <w:bottom w:val="none" w:sz="0" w:space="0" w:color="auto"/>
                        <w:right w:val="none" w:sz="0" w:space="0" w:color="auto"/>
                      </w:divBdr>
                      <w:divsChild>
                        <w:div w:id="1037657885">
                          <w:marLeft w:val="0"/>
                          <w:marRight w:val="0"/>
                          <w:marTop w:val="0"/>
                          <w:marBottom w:val="0"/>
                          <w:divBdr>
                            <w:top w:val="none" w:sz="0" w:space="0" w:color="auto"/>
                            <w:left w:val="none" w:sz="0" w:space="0" w:color="auto"/>
                            <w:bottom w:val="none" w:sz="0" w:space="0" w:color="auto"/>
                            <w:right w:val="none" w:sz="0" w:space="0" w:color="auto"/>
                          </w:divBdr>
                          <w:divsChild>
                            <w:div w:id="1108351573">
                              <w:marLeft w:val="0"/>
                              <w:marRight w:val="0"/>
                              <w:marTop w:val="0"/>
                              <w:marBottom w:val="0"/>
                              <w:divBdr>
                                <w:top w:val="none" w:sz="0" w:space="0" w:color="auto"/>
                                <w:left w:val="none" w:sz="0" w:space="0" w:color="auto"/>
                                <w:bottom w:val="none" w:sz="0" w:space="0" w:color="auto"/>
                                <w:right w:val="none" w:sz="0" w:space="0" w:color="auto"/>
                              </w:divBdr>
                              <w:divsChild>
                                <w:div w:id="1433087828">
                                  <w:marLeft w:val="0"/>
                                  <w:marRight w:val="0"/>
                                  <w:marTop w:val="0"/>
                                  <w:marBottom w:val="0"/>
                                  <w:divBdr>
                                    <w:top w:val="none" w:sz="0" w:space="0" w:color="auto"/>
                                    <w:left w:val="none" w:sz="0" w:space="0" w:color="auto"/>
                                    <w:bottom w:val="none" w:sz="0" w:space="0" w:color="auto"/>
                                    <w:right w:val="none" w:sz="0" w:space="0" w:color="auto"/>
                                  </w:divBdr>
                                  <w:divsChild>
                                    <w:div w:id="9112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147421">
          <w:marLeft w:val="0"/>
          <w:marRight w:val="0"/>
          <w:marTop w:val="0"/>
          <w:marBottom w:val="0"/>
          <w:divBdr>
            <w:top w:val="none" w:sz="0" w:space="0" w:color="auto"/>
            <w:left w:val="none" w:sz="0" w:space="0" w:color="auto"/>
            <w:bottom w:val="none" w:sz="0" w:space="0" w:color="auto"/>
            <w:right w:val="none" w:sz="0" w:space="0" w:color="auto"/>
          </w:divBdr>
          <w:divsChild>
            <w:div w:id="851916135">
              <w:marLeft w:val="0"/>
              <w:marRight w:val="0"/>
              <w:marTop w:val="0"/>
              <w:marBottom w:val="0"/>
              <w:divBdr>
                <w:top w:val="none" w:sz="0" w:space="0" w:color="auto"/>
                <w:left w:val="none" w:sz="0" w:space="0" w:color="auto"/>
                <w:bottom w:val="none" w:sz="0" w:space="0" w:color="auto"/>
                <w:right w:val="none" w:sz="0" w:space="0" w:color="auto"/>
              </w:divBdr>
              <w:divsChild>
                <w:div w:id="1779368614">
                  <w:marLeft w:val="0"/>
                  <w:marRight w:val="0"/>
                  <w:marTop w:val="0"/>
                  <w:marBottom w:val="0"/>
                  <w:divBdr>
                    <w:top w:val="none" w:sz="0" w:space="0" w:color="auto"/>
                    <w:left w:val="none" w:sz="0" w:space="0" w:color="auto"/>
                    <w:bottom w:val="none" w:sz="0" w:space="0" w:color="auto"/>
                    <w:right w:val="none" w:sz="0" w:space="0" w:color="auto"/>
                  </w:divBdr>
                  <w:divsChild>
                    <w:div w:id="361438323">
                      <w:marLeft w:val="0"/>
                      <w:marRight w:val="0"/>
                      <w:marTop w:val="0"/>
                      <w:marBottom w:val="0"/>
                      <w:divBdr>
                        <w:top w:val="none" w:sz="0" w:space="0" w:color="auto"/>
                        <w:left w:val="none" w:sz="0" w:space="0" w:color="auto"/>
                        <w:bottom w:val="none" w:sz="0" w:space="0" w:color="auto"/>
                        <w:right w:val="none" w:sz="0" w:space="0" w:color="auto"/>
                      </w:divBdr>
                      <w:divsChild>
                        <w:div w:id="840046728">
                          <w:marLeft w:val="0"/>
                          <w:marRight w:val="0"/>
                          <w:marTop w:val="0"/>
                          <w:marBottom w:val="0"/>
                          <w:divBdr>
                            <w:top w:val="none" w:sz="0" w:space="0" w:color="auto"/>
                            <w:left w:val="none" w:sz="0" w:space="0" w:color="auto"/>
                            <w:bottom w:val="none" w:sz="0" w:space="0" w:color="auto"/>
                            <w:right w:val="none" w:sz="0" w:space="0" w:color="auto"/>
                          </w:divBdr>
                          <w:divsChild>
                            <w:div w:id="1790394724">
                              <w:marLeft w:val="0"/>
                              <w:marRight w:val="0"/>
                              <w:marTop w:val="0"/>
                              <w:marBottom w:val="0"/>
                              <w:divBdr>
                                <w:top w:val="none" w:sz="0" w:space="0" w:color="auto"/>
                                <w:left w:val="none" w:sz="0" w:space="0" w:color="auto"/>
                                <w:bottom w:val="none" w:sz="0" w:space="0" w:color="auto"/>
                                <w:right w:val="none" w:sz="0" w:space="0" w:color="auto"/>
                              </w:divBdr>
                              <w:divsChild>
                                <w:div w:id="741874706">
                                  <w:marLeft w:val="0"/>
                                  <w:marRight w:val="0"/>
                                  <w:marTop w:val="0"/>
                                  <w:marBottom w:val="0"/>
                                  <w:divBdr>
                                    <w:top w:val="none" w:sz="0" w:space="0" w:color="auto"/>
                                    <w:left w:val="none" w:sz="0" w:space="0" w:color="auto"/>
                                    <w:bottom w:val="none" w:sz="0" w:space="0" w:color="auto"/>
                                    <w:right w:val="none" w:sz="0" w:space="0" w:color="auto"/>
                                  </w:divBdr>
                                  <w:divsChild>
                                    <w:div w:id="250238159">
                                      <w:marLeft w:val="0"/>
                                      <w:marRight w:val="0"/>
                                      <w:marTop w:val="0"/>
                                      <w:marBottom w:val="0"/>
                                      <w:divBdr>
                                        <w:top w:val="none" w:sz="0" w:space="0" w:color="auto"/>
                                        <w:left w:val="none" w:sz="0" w:space="0" w:color="auto"/>
                                        <w:bottom w:val="none" w:sz="0" w:space="0" w:color="auto"/>
                                        <w:right w:val="none" w:sz="0" w:space="0" w:color="auto"/>
                                      </w:divBdr>
                                      <w:divsChild>
                                        <w:div w:id="16469541">
                                          <w:marLeft w:val="0"/>
                                          <w:marRight w:val="0"/>
                                          <w:marTop w:val="0"/>
                                          <w:marBottom w:val="0"/>
                                          <w:divBdr>
                                            <w:top w:val="none" w:sz="0" w:space="0" w:color="auto"/>
                                            <w:left w:val="none" w:sz="0" w:space="0" w:color="auto"/>
                                            <w:bottom w:val="none" w:sz="0" w:space="0" w:color="auto"/>
                                            <w:right w:val="none" w:sz="0" w:space="0" w:color="auto"/>
                                          </w:divBdr>
                                          <w:divsChild>
                                            <w:div w:id="226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1694</Words>
  <Characters>10422</Characters>
  <Application>Microsoft Office Word</Application>
  <DocSecurity>0</DocSecurity>
  <Lines>193</Lines>
  <Paragraphs>67</Paragraphs>
  <ScaleCrop>false</ScaleCrop>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McGoldrick</dc:creator>
  <cp:keywords/>
  <dc:description/>
  <cp:lastModifiedBy>Maureen Holliday</cp:lastModifiedBy>
  <cp:revision>3</cp:revision>
  <dcterms:created xsi:type="dcterms:W3CDTF">2026-02-24T15:02:00Z</dcterms:created>
  <dcterms:modified xsi:type="dcterms:W3CDTF">2026-03-12T23:00:00Z</dcterms:modified>
</cp:coreProperties>
</file>